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AAE8" w14:textId="63F9CC9D" w:rsidR="00451AE4" w:rsidRPr="00A10B74" w:rsidRDefault="00A10B74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ŚCIEŻKA POMOCY</w:t>
      </w:r>
    </w:p>
    <w:p w14:paraId="323D9B39" w14:textId="7E479680" w:rsidR="00603967" w:rsidRDefault="00603967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w sytuacji wystąpienia przemocy rówieśniczej</w:t>
      </w:r>
    </w:p>
    <w:p w14:paraId="03FCACBC" w14:textId="0F7B6C56" w:rsidR="00A10B74" w:rsidRPr="00A10B74" w:rsidRDefault="00A10B74" w:rsidP="00A10B74">
      <w:pPr>
        <w:pStyle w:val="Akapitzlist"/>
        <w:numPr>
          <w:ilvl w:val="0"/>
          <w:numId w:val="16"/>
        </w:num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DLA SZKOŁY</w:t>
      </w:r>
    </w:p>
    <w:p w14:paraId="47C3A36F" w14:textId="77777777" w:rsidR="00603967" w:rsidRPr="006A7A90" w:rsidRDefault="00603967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0DEFCB2" w14:textId="1B8AD913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Cel ścieżki pomocy</w:t>
      </w:r>
    </w:p>
    <w:p w14:paraId="5A3C42F9" w14:textId="77777777" w:rsidR="00A10B74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bezpieczeństwa uczniom i uczennicom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tym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szybkiej, adekwatnej i skutecznej reakcji szkoły w 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związku z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wystąpieni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em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przemocy rówieśniczej (fizycznej, psychicznej, słownej, cyberprzemocy itp.), mające na celu ochronę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dziecka doznającego przemocy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przemodelowanie zachowania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sprawców i zapobieganie dalszym incydentom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szkole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6461EDE" w14:textId="77777777" w:rsidR="00A10B74" w:rsidRDefault="00A10B74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1C7BBE60" w14:textId="54E23CDF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Rozpoznanie i zgłoszenie</w:t>
      </w:r>
    </w:p>
    <w:p w14:paraId="4DE2678F" w14:textId="77777777" w:rsid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Kto może zgłosić?</w:t>
      </w:r>
    </w:p>
    <w:p w14:paraId="1D7D8E9F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Uczeń (ofiara lub świadek)</w:t>
      </w:r>
    </w:p>
    <w:p w14:paraId="3F20C981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Rodzic/opiekun prawny</w:t>
      </w:r>
    </w:p>
    <w:p w14:paraId="79F705BE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Nauczyciel, wychowawca</w:t>
      </w:r>
    </w:p>
    <w:p w14:paraId="3C793961" w14:textId="77510342" w:rsidR="003F2776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Inny pracownik szkoły</w:t>
      </w:r>
    </w:p>
    <w:p w14:paraId="18C6EB6A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83285DC" w14:textId="0A05BA40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Forma zgłoszenia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przemocy </w:t>
      </w:r>
      <w:r w:rsidR="003F2776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występującej 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szkole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7499E798" w14:textId="40F9609E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Bezpośrednio do wychowawcy, pedagoga, psychologa, nauczyciela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dyrektora szkoły </w:t>
      </w:r>
    </w:p>
    <w:p w14:paraId="04CE8972" w14:textId="77777777" w:rsid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Poprzez skrzynkę zaufania (jeśli istnieje)</w:t>
      </w:r>
    </w:p>
    <w:p w14:paraId="3BA3404E" w14:textId="027B7DB6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Drogą </w:t>
      </w:r>
      <w:r w:rsidR="00451AE4" w:rsidRPr="00A10B74">
        <w:rPr>
          <w:rFonts w:ascii="Lato" w:hAnsi="Lato"/>
          <w:color w:val="501549" w:themeColor="accent5" w:themeShade="80"/>
          <w:sz w:val="20"/>
          <w:szCs w:val="20"/>
        </w:rPr>
        <w:t>elektroniczną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>na adres sekretariatu szkoły lub dyrektora</w:t>
      </w:r>
    </w:p>
    <w:p w14:paraId="1B5C5A2B" w14:textId="5692516F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Drogą telefoniczną do sekretariatu szkoły lub dyrektora</w:t>
      </w:r>
    </w:p>
    <w:p w14:paraId="4CEF6D1C" w14:textId="464AF082" w:rsidR="006C6FDC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Anonimowo (jeśli szkoła umożliwia taką formę)</w:t>
      </w:r>
    </w:p>
    <w:p w14:paraId="00F2555E" w14:textId="43F98C42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Pisemnie do właściwego Kuratora Oświaty</w:t>
      </w:r>
    </w:p>
    <w:p w14:paraId="631249B9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4087CC59" w14:textId="5786A26E" w:rsidR="00451AE4" w:rsidRPr="006A7A90" w:rsidRDefault="007864E9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Początkowe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szkoły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Zabezpieczenie ucznia/uczestników zdarzenia</w:t>
      </w:r>
    </w:p>
    <w:p w14:paraId="3AF68026" w14:textId="77777777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Z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apewnienie bezpieczeństwa 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wszystkim uczniom i uczennicom należy do kompetencji dyrektora szkoły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5B88FBD6" w14:textId="3E7C207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Oddzielenie sprawcy od ofiary (czasowe)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– zadanie dyrektora i nauczycieli (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realizowane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zgodnie z 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 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obowiązującymi procedurami szkolnymi)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B92DD21" w14:textId="384C2089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 razie potrzeby – wezwanie rodziców/opiekunów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odpowiednich służb (np. 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997 lub 112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>, Państwowego Ratownictwa Medycznego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999 lub 112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94524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C040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Dokumentacja zdarzenia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– 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zgodna z obowiązującymi procedurami szkolnymi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Spisanie relacji ofiary, świadków, sprawcy</w:t>
      </w:r>
    </w:p>
    <w:p w14:paraId="7C978E7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Zebranie dowodów (zrzuty ekranu, zdjęcia, nagrania – w przypadku cyberprzemocy)</w:t>
      </w:r>
    </w:p>
    <w:p w14:paraId="020E1A66" w14:textId="25A9C281" w:rsidR="00451AE4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Sporządzenie notatki służbowej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Diagnoza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089921D8" w14:textId="77777777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Spotkanie zespołu wychowawczo-profilaktycznego (lub zespołu interwencyjnego)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5EDA0BC3" w14:textId="6E02252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Pedagog, psycholog, wychowawca, dyrektor (lub wicedyrektor), nauczyciele zaangażowani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28D6C724" w14:textId="782FDA63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Analiza sytuacji – skala przemocy, powtarzalność, motywy, zaangażowane osoby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9EFC9EA" w14:textId="77777777" w:rsidR="00451AE4" w:rsidRPr="006A7A90" w:rsidRDefault="00451AE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6EE15EEF" w14:textId="33A15D09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Ustalenie dalszych działań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Wdrożenie procedury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>interwencji kryzysowej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49860" w14:textId="77777777" w:rsidR="00E311FF" w:rsidRDefault="00E04840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Podjęcie decyzji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 poinformowaniu instytucji zewnętrznych (np. sądu rodzinnego,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olicji,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środka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omocy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s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połecznej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>Państwowego Ratownictwa Medycznego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 interwencyjne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, 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wychowawcz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o-profilaktyczne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stosunku do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311FF">
        <w:rPr>
          <w:rFonts w:ascii="Lato" w:hAnsi="Lato"/>
          <w:b/>
          <w:bCs/>
          <w:color w:val="501549" w:themeColor="accent5" w:themeShade="80"/>
          <w:sz w:val="20"/>
          <w:szCs w:val="20"/>
        </w:rPr>
        <w:t>osoby doznającej przemocy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0671483C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Wsparcie psychologa/pedagoga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szkolnego</w:t>
      </w:r>
    </w:p>
    <w:p w14:paraId="39DAFF40" w14:textId="01467132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 poczucia bezpieczeństwa</w:t>
      </w:r>
      <w:r w:rsidR="000E582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uczniowi/uczennicy</w:t>
      </w:r>
    </w:p>
    <w:p w14:paraId="1F53E68B" w14:textId="42ECDAB3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Obserwacja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ucznia/uczennicy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przez wychowawcę i nauczycieli</w:t>
      </w:r>
    </w:p>
    <w:p w14:paraId="2B4ED7DB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Spotkania z rodzicami</w:t>
      </w:r>
    </w:p>
    <w:p w14:paraId="69BB8BA2" w14:textId="7A39389D" w:rsidR="002E2A1E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Możliwość zmiany klasy, jeśli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dziecko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tego potrzebuje i jest to uzasadnione</w:t>
      </w:r>
    </w:p>
    <w:p w14:paraId="464CB366" w14:textId="22B77E7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</w:p>
    <w:p w14:paraId="42526EF0" w14:textId="77777777" w:rsidR="00A92E93" w:rsidRDefault="00A92E93" w:rsidP="00A10B74">
      <w:pPr>
        <w:spacing w:before="120" w:after="0" w:line="240" w:lineRule="auto"/>
        <w:rPr>
          <w:rFonts w:ascii="Lato" w:hAnsi="Lato"/>
          <w:b/>
          <w:color w:val="501549" w:themeColor="accent5" w:themeShade="80"/>
          <w:sz w:val="20"/>
          <w:szCs w:val="20"/>
        </w:rPr>
      </w:pPr>
    </w:p>
    <w:p w14:paraId="00AEE123" w14:textId="0C76BD8D" w:rsidR="002E2A1E" w:rsidRPr="006A7A90" w:rsidRDefault="00451AE4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K</w:t>
      </w:r>
      <w:r w:rsidR="002E2A1E" w:rsidRPr="006A7A90">
        <w:rPr>
          <w:rFonts w:ascii="Lato" w:hAnsi="Lato"/>
          <w:b/>
          <w:color w:val="501549" w:themeColor="accent5" w:themeShade="80"/>
          <w:sz w:val="20"/>
          <w:szCs w:val="20"/>
        </w:rPr>
        <w:t>orzystanie z pomocy specjalistów, w tym w pomocy instytucjonalnej:</w:t>
      </w:r>
    </w:p>
    <w:p w14:paraId="4FFFAFA4" w14:textId="6F76C72C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kompetentni wychowawczo nauczyciele i wychowawcy</w:t>
      </w:r>
    </w:p>
    <w:p w14:paraId="1F01FBB3" w14:textId="3AC3E8F5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pedagog i psycholog w szkole</w:t>
      </w:r>
    </w:p>
    <w:p w14:paraId="2A21CE28" w14:textId="08CCD028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poradnie psychologiczno-pedagogiczne</w:t>
      </w:r>
    </w:p>
    <w:p w14:paraId="6DEE9CFC" w14:textId="77777777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system opieki zdrowotnej:</w:t>
      </w:r>
    </w:p>
    <w:p w14:paraId="7609622F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Zespoły i Ośrodki Środowiskowej Pomocy Psychologicznej i  Psychoterapeutycznej dla Dzieci i Młodzieży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6108A1FA" w14:textId="7ECB2D33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Gwarancją skuteczności działań podejmowanych na I poziomie wsparcia jest współpraca ośrodków opieki psychologicznej i psychoterapeutycznej ze środowiskiem szkolnym.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Szkoła może podpisać porozumienie z ośrodkiem.</w:t>
      </w:r>
    </w:p>
    <w:p w14:paraId="233AEC3B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Centra Zdrowia Psychicznego.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2685694E" w14:textId="77777777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Wsparcie jest szybkie, bez skierowania, bezpłatne i blisko domu. Pierwszy kontakt to rozmowa ze specjalistą w Punkcie Zgłoszeniowo Koordynacyjnym, która pozwoli określić pierwsze potrzeby Pacjenta i ustalić wstępny plan wsparcia, które otrzyma w centrum. Bezpośredni link do mapy: </w:t>
      </w:r>
      <w:hyperlink r:id="rId7" w:history="1">
        <w:r w:rsidRPr="006A7A90">
          <w:rPr>
            <w:rStyle w:val="Hipercze"/>
            <w:rFonts w:ascii="Lato" w:hAnsi="Lato"/>
            <w:color w:val="501549" w:themeColor="accent5" w:themeShade="80"/>
            <w:sz w:val="20"/>
            <w:szCs w:val="20"/>
          </w:rPr>
          <w:t>www.czp.org.pl/mapa/</w:t>
        </w:r>
      </w:hyperlink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67258EF4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III poziom referencyjny - 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Ośrodek Wysokospecjalistycznej Całodobowej Opieki Psychiatrycznej.</w:t>
      </w:r>
    </w:p>
    <w:p w14:paraId="26EA1AA2" w14:textId="77777777" w:rsidR="002E2A1E" w:rsidRPr="006A7A90" w:rsidRDefault="002E2A1E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sytuacjach nagłych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gdy stan zdrowia dziecka wymaga natychmiastowej interwencji lekarskiej,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każdy jest zobowiązany do udzielenia pomocy przedmedycznej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6A7A90">
        <w:rPr>
          <w:rFonts w:ascii="Lato" w:hAnsi="Lato"/>
          <w:color w:val="501549" w:themeColor="accent5" w:themeShade="80"/>
          <w:sz w:val="20"/>
          <w:szCs w:val="20"/>
          <w:vertAlign w:val="superscript"/>
        </w:rPr>
        <w:footnoteReference w:id="1"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7FC7B3E3" w14:textId="3234139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 xml:space="preserve">W przypadku poważniejszych naruszeń – powiadomienie sądu rodzinnego, 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5A5D237" w14:textId="5D759BB5" w:rsidR="00451AE4" w:rsidRPr="006A7A90" w:rsidRDefault="00404CFE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W szkole od 15 sierpnia 2024 r. powinny być </w:t>
      </w:r>
      <w:r w:rsidRPr="00A92E93">
        <w:rPr>
          <w:rFonts w:ascii="Lato" w:eastAsia="Times New Roman" w:hAnsi="Lato" w:cs="Times New Roman"/>
          <w:b/>
          <w:bCs/>
          <w:color w:val="501549" w:themeColor="accent5" w:themeShade="80"/>
          <w:sz w:val="20"/>
          <w:szCs w:val="20"/>
        </w:rPr>
        <w:t>wdrożone standardy ochrony małoletnich</w:t>
      </w: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>, których wytyczne są dostępne na stronie Ministerstwa Sprawiedliwości</w:t>
      </w:r>
      <w:r w:rsidRPr="006A7A90">
        <w:rPr>
          <w:rStyle w:val="Odwoanieprzypisudolnego"/>
          <w:rFonts w:ascii="Lato" w:eastAsia="Times New Roman" w:hAnsi="Lato" w:cs="Times New Roman"/>
          <w:color w:val="501549" w:themeColor="accent5" w:themeShade="80"/>
          <w:sz w:val="20"/>
          <w:szCs w:val="20"/>
        </w:rPr>
        <w:footnoteReference w:id="2"/>
      </w:r>
      <w:r w:rsidRPr="006A7A90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. Wprowadzenie standardów ochrony dzieci ma na celu zwiększenie bezpieczeństwa dzieci, ale także rodziców i personelu placówek, które z dziećmi pracują.  </w:t>
      </w:r>
    </w:p>
    <w:p w14:paraId="6CE65E4E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sprawcy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3C4898E1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dyscyplinująca</w:t>
      </w:r>
    </w:p>
    <w:p w14:paraId="0E7BBDEA" w14:textId="481DD005" w:rsidR="007864E9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Zastosowanie środków wychowawczych lub dyscyplinujących (np. upomnienie, nagana, przeniesienie do innej klasy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porozumieniu z rodzicami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863F566" w14:textId="23C863ED" w:rsidR="00486D73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oraz </w:t>
      </w:r>
      <w:r w:rsidR="00486D73" w:rsidRPr="006A7A90">
        <w:rPr>
          <w:rFonts w:ascii="Lato" w:hAnsi="Lato"/>
          <w:b/>
          <w:color w:val="501549" w:themeColor="accent5" w:themeShade="80"/>
          <w:sz w:val="20"/>
          <w:szCs w:val="20"/>
        </w:rPr>
        <w:t>korzystanie z pomocy specjalistów, w tym w pomocy instytucjonalnej</w:t>
      </w:r>
      <w:r w:rsidR="00451AE4"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jw.</w:t>
      </w:r>
    </w:p>
    <w:p w14:paraId="1348C643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przypadku poważniejszych naruszeń – powiadomienie sądu rodzinnego, </w:t>
      </w:r>
      <w:r w:rsidR="00F8473E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klasy/świadków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zdarzenia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2ADA79EF" w14:textId="55166BA0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Zajęcia integracyjne, wychowawcz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o-profilaktyczne</w:t>
      </w:r>
    </w:p>
    <w:p w14:paraId="3ADF2EDA" w14:textId="582BB24A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z całą klasą o skutkach przemocy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mediacje </w:t>
      </w:r>
    </w:p>
    <w:p w14:paraId="2F5040FB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Warsztaty z zakresu empatii, komunikacji, rozwiązywania konfliktów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, realizacja programów z Bazy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Rekomendowanych Programów Profilaktycznych, upowszechnianie materiałów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edukacyjnych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znajdujących się na stronie Ośrodka Rozwoju Edukacji, współpraca z organizacjami pozarządowymi np.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Fundacją Życie Warte Jest Rozmowy, Fundacją Dajemy Dzieciom Siłę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realizacji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szkole programów profilaktycznych.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Monitorowanie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Regularna obserwacja relacji w klasie przez wychowawcę i specjalistów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zakresu profilaktyki zdrowia psychicznego, przeciwdziałania przemocy rówieśniczej.</w:t>
      </w:r>
    </w:p>
    <w:p w14:paraId="44AC4DE9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Spotkania kontrolne z ofiarą, </w:t>
      </w:r>
      <w:r w:rsidR="00193AFD" w:rsidRPr="006A7A90">
        <w:rPr>
          <w:rFonts w:ascii="Lato" w:hAnsi="Lato"/>
          <w:color w:val="501549" w:themeColor="accent5" w:themeShade="80"/>
          <w:sz w:val="20"/>
          <w:szCs w:val="20"/>
        </w:rPr>
        <w:t>sprawcą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i ich rodzicami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organizowane przez dyrektora, psychologa, pedagoga szkolnego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1D699F76" w14:textId="289371E3" w:rsidR="00A92E93" w:rsidRPr="00A92E93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Monitoring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skuteczności działań po określonym czasie (np. po miesiącu, po 3 miesiącach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 zdarzenia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0F3ADBBC" w14:textId="57267F47" w:rsidR="00486D73" w:rsidRP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Profilaktyka </w:t>
      </w:r>
      <w:r w:rsidR="00A97EF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pozytywna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Stałe działania profilaktyczne w szkole:</w:t>
      </w:r>
    </w:p>
    <w:p w14:paraId="1AD6635F" w14:textId="4FA33066" w:rsidR="00A97EF0" w:rsidRPr="006A7A90" w:rsidRDefault="00486D73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programu wychowawczo-profilaktycznego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opracowanego na podstawie </w:t>
      </w:r>
      <w:r w:rsidR="004E3E3B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wyników corocznej diagnozy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występujących w środowisku szkolnym potrzeb rozwojowych uczniów, w tym czynników chroniących i czynników ryzyka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3A9630AC" w14:textId="25BF8A23" w:rsidR="006C6FDC" w:rsidRPr="006A7A90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Program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Bazy Rekomendowanych Programów Profilaktycznych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przeciwdziałania przemocy w szkole, komunikacji, empatii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, np. dla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</w:p>
    <w:p w14:paraId="41DB1C0C" w14:textId="348484A4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rzedszkol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„Luba czuje”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,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  <w:shd w:val="clear" w:color="auto" w:fill="FFFFFF"/>
        </w:rPr>
        <w:t>którego celem jest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zwiększenie poziomu kompetencji emocjonalnych oraz funkcji wykonawczych dzieci w wieku przedszkolnym;</w:t>
      </w:r>
    </w:p>
    <w:p w14:paraId="0495DDCE" w14:textId="2756FD3D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 klas V-VIII szkoły podstawowej oraz uczniowie szkół ponadpodstawowych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„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Iskra odporności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polegający na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rozwijaniu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kontrolowania sposobu reagowania na trudności. 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Celem programu jest rozwój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rozwiązywania konfliktów i asertywnej komunikacji poprzez formułowanie komunikatu „Ja”, nazywanie uczuć i formułowanie propozycji rozwiązań, które będą służyły obu stronom konfliktu.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Ponadto nauka p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ozytywn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ej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adaptacj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 – rozwijanie umiejętności przezwyciężania trudności poprzez poszukiwanie konstruktywnych sposobów reagowania na wyzwania i zmieniające się otoczenie, a także powrót do dobrego funkcjonowania po trudnych doświadczeniach.</w:t>
      </w:r>
    </w:p>
    <w:p w14:paraId="0B68C9EC" w14:textId="1FD7F4AB" w:rsidR="002E4D32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u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i nauczyciel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(z klas IV – VIII), szkół ponadpodstawowych, Młodzieżowych Ośrodków Socjoterapii i Młodzieżowych Ośrodków Wychowawczych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np. program „</w:t>
      </w:r>
      <w:proofErr w:type="spellStart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Tutoring</w:t>
      </w:r>
      <w:proofErr w:type="spellEnd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szkolny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: zwiększenie  poczucia bezpieczeństwa w szkole, poprawa relacji oraz klimatu społecznego szkoły, wzrost u uczniów wiary we własne możliwości, doświadczanie przez nich sprawstwa i odpowiedzialności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3AE4BA89" w14:textId="4380CC2F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i </w:t>
      </w:r>
      <w:proofErr w:type="spellStart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proofErr w:type="spellEnd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 klas szkół ponadpodstawowych</w:t>
      </w:r>
      <w:r w:rsidR="00C30B2D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, np. program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>„Trzy koła”, Cele programu: wzmacnianie więzi społecznych pomiędzy nauczycielami i uczniami, szkołą i rodzicami, a także rozwijanie pozytywnych relacji społecznych między uczniami, wzmacnianie zachowań prospołecznych uczniów, np. stawanie w obronie innych uczniów, udzielanie pomocy koleżeńskiej, powstrzymywanie rówieśników, którzy planują  zachowania niebezpieczne, </w:t>
      </w:r>
    </w:p>
    <w:p w14:paraId="3DD45EE1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Lekcje wychowawcze 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dotyczące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empatii, szacunku, asertywności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komunikacji. </w:t>
      </w:r>
    </w:p>
    <w:p w14:paraId="76178A3D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Szkolenia dla nauczycieli z zakresu rozpoznawania i reagowania na przemoc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rówieśniczą w szkole, cyberprzemoc.</w:t>
      </w:r>
    </w:p>
    <w:p w14:paraId="51BDF422" w14:textId="593C3704" w:rsidR="00E04840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Współpraca z poradnią psychologiczno-pedagogiczną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>organizacjami pozarządowymi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, ośrodkiem pomocy społecznej.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b/>
          <w:bCs/>
          <w:color w:val="501549" w:themeColor="accent5" w:themeShade="80"/>
          <w:sz w:val="20"/>
          <w:szCs w:val="20"/>
        </w:rPr>
        <w:t>Dokumentacja</w:t>
      </w:r>
    </w:p>
    <w:p w14:paraId="2577C7E5" w14:textId="7E8BED43" w:rsidR="00A97EF0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Każdy etap powinien być dokumentowany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postaci sporządzania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notat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ek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 raport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 zabezpieczony obraz z monitoringu wizyjnego (do ewentualnego żądania rodziców czy służb)</w:t>
      </w:r>
    </w:p>
    <w:p w14:paraId="02A18473" w14:textId="3AD1F853" w:rsidR="006C6FDC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Dokumenty powinny być przechowywane zgodnie z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ustawą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>z dnia 10 maja 2018 r.</w:t>
      </w:r>
      <w:r w:rsidR="00E8529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-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 ochronie danych osobowych</w:t>
      </w:r>
      <w:r w:rsidR="00FA27E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06F71E73" w14:textId="77777777" w:rsidR="006C6FDC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p w14:paraId="1673E81B" w14:textId="77777777" w:rsidR="00AD514D" w:rsidRPr="006A7A90" w:rsidRDefault="00AD514D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sectPr w:rsidR="00AD514D" w:rsidRPr="006A7A90" w:rsidSect="00A10B74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A7F6" w14:textId="77777777" w:rsidR="00F77071" w:rsidRDefault="00F77071" w:rsidP="00486D73">
      <w:pPr>
        <w:spacing w:after="0" w:line="240" w:lineRule="auto"/>
      </w:pPr>
      <w:r>
        <w:separator/>
      </w:r>
    </w:p>
  </w:endnote>
  <w:endnote w:type="continuationSeparator" w:id="0">
    <w:p w14:paraId="41BDD617" w14:textId="77777777" w:rsidR="00F77071" w:rsidRDefault="00F77071" w:rsidP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1E91" w14:textId="77777777" w:rsidR="00F77071" w:rsidRDefault="00F77071" w:rsidP="00486D73">
      <w:pPr>
        <w:spacing w:after="0" w:line="240" w:lineRule="auto"/>
      </w:pPr>
      <w:r>
        <w:separator/>
      </w:r>
    </w:p>
  </w:footnote>
  <w:footnote w:type="continuationSeparator" w:id="0">
    <w:p w14:paraId="63897DD7" w14:textId="77777777" w:rsidR="00F77071" w:rsidRDefault="00F77071" w:rsidP="00486D73">
      <w:pPr>
        <w:spacing w:after="0" w:line="240" w:lineRule="auto"/>
      </w:pPr>
      <w:r>
        <w:continuationSeparator/>
      </w:r>
    </w:p>
  </w:footnote>
  <w:footnote w:id="1">
    <w:p w14:paraId="3EAD184A" w14:textId="77777777" w:rsidR="002E2A1E" w:rsidRPr="00A92E93" w:rsidRDefault="002E2A1E" w:rsidP="002E2A1E">
      <w:pPr>
        <w:pStyle w:val="Tekstprzypisudolnego"/>
        <w:jc w:val="both"/>
        <w:rPr>
          <w:rFonts w:ascii="Lato" w:hAnsi="Lato"/>
          <w:color w:val="501549" w:themeColor="accent5" w:themeShade="80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t xml:space="preserve">Art. 4 ustawy z dnia 8 września 2006 r. o Państwowym Ratownictwie Medycznym (Dz.U. z 2021 r.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br/>
        <w:t>poz. 2053).</w:t>
      </w:r>
    </w:p>
  </w:footnote>
  <w:footnote w:id="2">
    <w:p w14:paraId="302DDB2B" w14:textId="77777777" w:rsidR="00404CFE" w:rsidRDefault="00404CFE" w:rsidP="00404C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1ED2">
        <w:rPr>
          <w:rFonts w:ascii="Lato" w:hAnsi="Lato"/>
          <w:sz w:val="16"/>
          <w:szCs w:val="16"/>
        </w:rPr>
        <w:t>https://www.gov.pl/web/sprawiedliwosc/standardy-ochrony-maloletnich---wytyczne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5C1"/>
    <w:multiLevelType w:val="hybridMultilevel"/>
    <w:tmpl w:val="E9AE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6F1"/>
    <w:multiLevelType w:val="multilevel"/>
    <w:tmpl w:val="56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444"/>
    <w:multiLevelType w:val="hybridMultilevel"/>
    <w:tmpl w:val="9E5CCB38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F90"/>
    <w:multiLevelType w:val="hybridMultilevel"/>
    <w:tmpl w:val="D294F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1586"/>
    <w:multiLevelType w:val="hybridMultilevel"/>
    <w:tmpl w:val="AE8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036"/>
    <w:multiLevelType w:val="multilevel"/>
    <w:tmpl w:val="D5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C88"/>
    <w:multiLevelType w:val="multilevel"/>
    <w:tmpl w:val="C0E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614BC"/>
    <w:multiLevelType w:val="hybridMultilevel"/>
    <w:tmpl w:val="7416E280"/>
    <w:lvl w:ilvl="0" w:tplc="E2404EF2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15689"/>
    <w:multiLevelType w:val="multilevel"/>
    <w:tmpl w:val="22A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072"/>
    <w:multiLevelType w:val="multilevel"/>
    <w:tmpl w:val="277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7658"/>
    <w:multiLevelType w:val="hybridMultilevel"/>
    <w:tmpl w:val="AAD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B84"/>
    <w:multiLevelType w:val="hybridMultilevel"/>
    <w:tmpl w:val="31F8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3A53"/>
    <w:multiLevelType w:val="multilevel"/>
    <w:tmpl w:val="A4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576D2"/>
    <w:multiLevelType w:val="multilevel"/>
    <w:tmpl w:val="6D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5F7D"/>
    <w:multiLevelType w:val="hybridMultilevel"/>
    <w:tmpl w:val="22183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A06"/>
    <w:multiLevelType w:val="multilevel"/>
    <w:tmpl w:val="F95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E90"/>
    <w:multiLevelType w:val="multilevel"/>
    <w:tmpl w:val="7D4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7035">
    <w:abstractNumId w:val="3"/>
  </w:num>
  <w:num w:numId="2" w16cid:durableId="920716875">
    <w:abstractNumId w:val="4"/>
  </w:num>
  <w:num w:numId="3" w16cid:durableId="1553541946">
    <w:abstractNumId w:val="15"/>
  </w:num>
  <w:num w:numId="4" w16cid:durableId="1578973202">
    <w:abstractNumId w:val="9"/>
  </w:num>
  <w:num w:numId="5" w16cid:durableId="2073035642">
    <w:abstractNumId w:val="1"/>
  </w:num>
  <w:num w:numId="6" w16cid:durableId="673268459">
    <w:abstractNumId w:val="8"/>
  </w:num>
  <w:num w:numId="7" w16cid:durableId="1856453429">
    <w:abstractNumId w:val="5"/>
  </w:num>
  <w:num w:numId="8" w16cid:durableId="1139692655">
    <w:abstractNumId w:val="6"/>
  </w:num>
  <w:num w:numId="9" w16cid:durableId="577600300">
    <w:abstractNumId w:val="13"/>
  </w:num>
  <w:num w:numId="10" w16cid:durableId="1717730050">
    <w:abstractNumId w:val="18"/>
  </w:num>
  <w:num w:numId="11" w16cid:durableId="585958420">
    <w:abstractNumId w:val="17"/>
  </w:num>
  <w:num w:numId="12" w16cid:durableId="1170756768">
    <w:abstractNumId w:val="7"/>
  </w:num>
  <w:num w:numId="13" w16cid:durableId="638608822">
    <w:abstractNumId w:val="12"/>
  </w:num>
  <w:num w:numId="14" w16cid:durableId="444038524">
    <w:abstractNumId w:val="14"/>
  </w:num>
  <w:num w:numId="15" w16cid:durableId="1390029526">
    <w:abstractNumId w:val="2"/>
  </w:num>
  <w:num w:numId="16" w16cid:durableId="1784877870">
    <w:abstractNumId w:val="16"/>
  </w:num>
  <w:num w:numId="17" w16cid:durableId="996808037">
    <w:abstractNumId w:val="0"/>
  </w:num>
  <w:num w:numId="18" w16cid:durableId="1292515105">
    <w:abstractNumId w:val="10"/>
  </w:num>
  <w:num w:numId="19" w16cid:durableId="1390617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052289"/>
    <w:rsid w:val="000528DB"/>
    <w:rsid w:val="000869B4"/>
    <w:rsid w:val="000C4F42"/>
    <w:rsid w:val="000C7257"/>
    <w:rsid w:val="000E582E"/>
    <w:rsid w:val="00150FF3"/>
    <w:rsid w:val="0015733A"/>
    <w:rsid w:val="00193AFD"/>
    <w:rsid w:val="001D58AC"/>
    <w:rsid w:val="00221FA0"/>
    <w:rsid w:val="002E2A1E"/>
    <w:rsid w:val="002E4D32"/>
    <w:rsid w:val="00346176"/>
    <w:rsid w:val="0038051A"/>
    <w:rsid w:val="003F06EE"/>
    <w:rsid w:val="003F2776"/>
    <w:rsid w:val="00404CFE"/>
    <w:rsid w:val="00451AE4"/>
    <w:rsid w:val="004749F2"/>
    <w:rsid w:val="00486D73"/>
    <w:rsid w:val="004918F0"/>
    <w:rsid w:val="004C3446"/>
    <w:rsid w:val="004E3E3B"/>
    <w:rsid w:val="00592A62"/>
    <w:rsid w:val="00603967"/>
    <w:rsid w:val="006114B8"/>
    <w:rsid w:val="006559FC"/>
    <w:rsid w:val="006A7A90"/>
    <w:rsid w:val="006C6FDC"/>
    <w:rsid w:val="00761B80"/>
    <w:rsid w:val="007864E9"/>
    <w:rsid w:val="00802C82"/>
    <w:rsid w:val="008211FC"/>
    <w:rsid w:val="0094524C"/>
    <w:rsid w:val="00955133"/>
    <w:rsid w:val="00964E21"/>
    <w:rsid w:val="009C66BE"/>
    <w:rsid w:val="00A10B74"/>
    <w:rsid w:val="00A50695"/>
    <w:rsid w:val="00A92E93"/>
    <w:rsid w:val="00A97EF0"/>
    <w:rsid w:val="00AD514D"/>
    <w:rsid w:val="00B223D1"/>
    <w:rsid w:val="00B7675D"/>
    <w:rsid w:val="00C03896"/>
    <w:rsid w:val="00C27193"/>
    <w:rsid w:val="00C30B2D"/>
    <w:rsid w:val="00C70297"/>
    <w:rsid w:val="00C70684"/>
    <w:rsid w:val="00CD626F"/>
    <w:rsid w:val="00D16492"/>
    <w:rsid w:val="00E04840"/>
    <w:rsid w:val="00E311FF"/>
    <w:rsid w:val="00E46262"/>
    <w:rsid w:val="00E707E1"/>
    <w:rsid w:val="00E85293"/>
    <w:rsid w:val="00F0541E"/>
    <w:rsid w:val="00F101AB"/>
    <w:rsid w:val="00F77071"/>
    <w:rsid w:val="00F8473E"/>
    <w:rsid w:val="00FA0A84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C3F"/>
  <w15:chartTrackingRefBased/>
  <w15:docId w15:val="{34803C80-5E27-4144-BBAB-81A76E7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F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D73"/>
    <w:rPr>
      <w:color w:val="467886" w:themeColor="hyperlink"/>
      <w:u w:val="single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qFormat/>
    <w:rsid w:val="00486D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486D7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486D7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Anna AŻ. Żarnowska</cp:lastModifiedBy>
  <cp:revision>2</cp:revision>
  <dcterms:created xsi:type="dcterms:W3CDTF">2025-09-16T11:58:00Z</dcterms:created>
  <dcterms:modified xsi:type="dcterms:W3CDTF">2025-09-16T11:58:00Z</dcterms:modified>
</cp:coreProperties>
</file>